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A55" w:rsidRPr="003706AF" w:rsidRDefault="00A60B4D" w:rsidP="00002B59">
      <w:pPr>
        <w:pStyle w:val="ListParagraph"/>
        <w:numPr>
          <w:ilvl w:val="0"/>
          <w:numId w:val="2"/>
        </w:numPr>
        <w:spacing w:after="0" w:line="240" w:lineRule="auto"/>
        <w:contextualSpacing w:val="0"/>
      </w:pPr>
      <w:bookmarkStart w:id="0" w:name="_GoBack"/>
      <w:bookmarkEnd w:id="0"/>
      <w:r w:rsidRPr="003706AF">
        <w:rPr>
          <w:i/>
        </w:rPr>
        <w:t>Worldscope</w:t>
      </w:r>
      <w:r w:rsidR="00002B59" w:rsidRPr="003706AF">
        <w:rPr>
          <w:i/>
        </w:rPr>
        <w:t xml:space="preserve"> </w:t>
      </w:r>
      <w:r w:rsidR="00EF4A55" w:rsidRPr="003706AF">
        <w:t>was</w:t>
      </w:r>
      <w:r w:rsidR="00002B59" w:rsidRPr="003706AF">
        <w:t xml:space="preserve"> purchased from </w:t>
      </w:r>
      <w:r w:rsidR="00002B59" w:rsidRPr="003706AF">
        <w:rPr>
          <w:i/>
        </w:rPr>
        <w:t>Thompson Reuters</w:t>
      </w:r>
      <w:r w:rsidR="00002B59" w:rsidRPr="003706AF">
        <w:t xml:space="preserve"> </w:t>
      </w:r>
      <w:r w:rsidR="00EF4A55" w:rsidRPr="003706AF">
        <w:t>and</w:t>
      </w:r>
      <w:r w:rsidR="00002B59" w:rsidRPr="003706AF">
        <w:t xml:space="preserve"> accessed through </w:t>
      </w:r>
      <w:r w:rsidR="00002B59" w:rsidRPr="003706AF">
        <w:rPr>
          <w:i/>
        </w:rPr>
        <w:t>Datastream</w:t>
      </w:r>
      <w:r w:rsidR="00A409D8" w:rsidRPr="003706AF">
        <w:t>.</w:t>
      </w:r>
    </w:p>
    <w:p w:rsidR="00EF4A55" w:rsidRDefault="00EF4A55" w:rsidP="00EF4A55">
      <w:pPr>
        <w:pStyle w:val="ListParagraph"/>
        <w:spacing w:after="0" w:line="240" w:lineRule="auto"/>
        <w:contextualSpacing w:val="0"/>
      </w:pPr>
    </w:p>
    <w:p w:rsidR="00A409D8" w:rsidRDefault="00A409D8" w:rsidP="00A409D8">
      <w:pPr>
        <w:pStyle w:val="ListParagraph"/>
        <w:numPr>
          <w:ilvl w:val="0"/>
          <w:numId w:val="2"/>
        </w:numPr>
        <w:spacing w:after="0" w:line="240" w:lineRule="auto"/>
        <w:contextualSpacing w:val="0"/>
      </w:pPr>
      <w:r w:rsidRPr="00EF4A55">
        <w:rPr>
          <w:i/>
        </w:rPr>
        <w:t>Datastream</w:t>
      </w:r>
      <w:r>
        <w:rPr>
          <w:i/>
        </w:rPr>
        <w:t xml:space="preserve"> </w:t>
      </w:r>
      <w:r>
        <w:t xml:space="preserve">was </w:t>
      </w:r>
      <w:r w:rsidRPr="0099746D">
        <w:t xml:space="preserve">purchased from </w:t>
      </w:r>
      <w:r w:rsidRPr="0099746D">
        <w:rPr>
          <w:rStyle w:val="small1"/>
          <w:i/>
          <w:color w:val="000000"/>
          <w:sz w:val="24"/>
          <w:szCs w:val="24"/>
        </w:rPr>
        <w:t>Thomson Reuters</w:t>
      </w:r>
      <w:r w:rsidRPr="0099746D">
        <w:rPr>
          <w:rStyle w:val="small1"/>
          <w:color w:val="000000"/>
          <w:sz w:val="24"/>
          <w:szCs w:val="24"/>
        </w:rPr>
        <w:t>.</w:t>
      </w:r>
      <w:r w:rsidRPr="0099746D">
        <w:t xml:space="preserve"> </w:t>
      </w:r>
    </w:p>
    <w:p w:rsidR="00A409D8" w:rsidRDefault="00A409D8" w:rsidP="00EF4A55">
      <w:pPr>
        <w:pStyle w:val="ListParagraph"/>
        <w:spacing w:after="0" w:line="240" w:lineRule="auto"/>
        <w:contextualSpacing w:val="0"/>
      </w:pPr>
    </w:p>
    <w:p w:rsidR="00EF4A55" w:rsidRDefault="00EF4A55" w:rsidP="00EF4A55">
      <w:pPr>
        <w:pStyle w:val="ListParagraph"/>
        <w:numPr>
          <w:ilvl w:val="0"/>
          <w:numId w:val="2"/>
        </w:numPr>
        <w:spacing w:after="0" w:line="240" w:lineRule="auto"/>
        <w:contextualSpacing w:val="0"/>
      </w:pPr>
      <w:r w:rsidRPr="0099746D">
        <w:rPr>
          <w:i/>
        </w:rPr>
        <w:t>Worldscope</w:t>
      </w:r>
      <w:r>
        <w:rPr>
          <w:i/>
        </w:rPr>
        <w:t xml:space="preserve"> </w:t>
      </w:r>
      <w:r>
        <w:t>CDs were</w:t>
      </w:r>
      <w:r w:rsidR="00A409D8">
        <w:t xml:space="preserve"> used to gather ownership data. The </w:t>
      </w:r>
      <w:r w:rsidR="00A409D8" w:rsidRPr="0099746D">
        <w:rPr>
          <w:i/>
        </w:rPr>
        <w:t>Worldscope</w:t>
      </w:r>
      <w:r w:rsidR="00A409D8">
        <w:t xml:space="preserve"> CDs were</w:t>
      </w:r>
      <w:r w:rsidRPr="00002B59">
        <w:t xml:space="preserve"> purchased</w:t>
      </w:r>
      <w:r>
        <w:t xml:space="preserve"> from </w:t>
      </w:r>
      <w:r w:rsidRPr="00E21682">
        <w:rPr>
          <w:i/>
        </w:rPr>
        <w:t>Disclosure Inc</w:t>
      </w:r>
      <w:r>
        <w:t>.</w:t>
      </w:r>
    </w:p>
    <w:p w:rsidR="00EF4A55" w:rsidRPr="00EF4A55" w:rsidRDefault="00EF4A55" w:rsidP="00EF4A55">
      <w:pPr>
        <w:pStyle w:val="ListParagraph"/>
        <w:rPr>
          <w:i/>
        </w:rPr>
      </w:pPr>
    </w:p>
    <w:p w:rsidR="00A409D8" w:rsidRDefault="00A409D8" w:rsidP="00A409D8">
      <w:pPr>
        <w:pStyle w:val="ListParagraph"/>
        <w:numPr>
          <w:ilvl w:val="0"/>
          <w:numId w:val="2"/>
        </w:numPr>
        <w:spacing w:after="0" w:line="240" w:lineRule="auto"/>
        <w:contextualSpacing w:val="0"/>
      </w:pPr>
      <w:r w:rsidRPr="00EF4A55">
        <w:rPr>
          <w:i/>
        </w:rPr>
        <w:t>Thomson Reuters Ownership</w:t>
      </w:r>
      <w:r>
        <w:rPr>
          <w:i/>
        </w:rPr>
        <w:t xml:space="preserve"> </w:t>
      </w:r>
      <w:r>
        <w:t xml:space="preserve">was </w:t>
      </w:r>
      <w:r w:rsidRPr="0099746D">
        <w:t xml:space="preserve">purchased from </w:t>
      </w:r>
      <w:r w:rsidRPr="0099746D">
        <w:rPr>
          <w:rStyle w:val="small1"/>
          <w:i/>
          <w:color w:val="000000"/>
          <w:sz w:val="24"/>
          <w:szCs w:val="24"/>
        </w:rPr>
        <w:t>Thomson Reuters</w:t>
      </w:r>
      <w:r w:rsidRPr="0099746D">
        <w:rPr>
          <w:rStyle w:val="small1"/>
          <w:color w:val="000000"/>
          <w:sz w:val="24"/>
          <w:szCs w:val="24"/>
        </w:rPr>
        <w:t>.</w:t>
      </w:r>
      <w:r>
        <w:t xml:space="preserve"> </w:t>
      </w:r>
    </w:p>
    <w:p w:rsidR="00A409D8" w:rsidRPr="00A409D8" w:rsidRDefault="00A409D8" w:rsidP="00A409D8">
      <w:pPr>
        <w:pStyle w:val="ListParagraph"/>
        <w:rPr>
          <w:i/>
        </w:rPr>
      </w:pPr>
    </w:p>
    <w:p w:rsidR="00A409D8" w:rsidRPr="0099746D" w:rsidRDefault="00A409D8" w:rsidP="00A409D8">
      <w:pPr>
        <w:pStyle w:val="ListParagraph"/>
        <w:numPr>
          <w:ilvl w:val="0"/>
          <w:numId w:val="2"/>
        </w:numPr>
        <w:spacing w:after="0" w:line="240" w:lineRule="auto"/>
        <w:jc w:val="both"/>
      </w:pPr>
      <w:r w:rsidRPr="0099746D">
        <w:rPr>
          <w:i/>
        </w:rPr>
        <w:t>Thomson One</w:t>
      </w:r>
      <w:r w:rsidRPr="0099746D">
        <w:t xml:space="preserve"> </w:t>
      </w:r>
      <w:r w:rsidRPr="00E21682">
        <w:rPr>
          <w:i/>
        </w:rPr>
        <w:t xml:space="preserve">Mergers and Acquisitions </w:t>
      </w:r>
      <w:r>
        <w:t xml:space="preserve">was </w:t>
      </w:r>
      <w:r w:rsidRPr="0099746D">
        <w:t xml:space="preserve">purchased from </w:t>
      </w:r>
      <w:r w:rsidRPr="0099746D">
        <w:rPr>
          <w:rStyle w:val="small1"/>
          <w:i/>
          <w:color w:val="000000"/>
          <w:sz w:val="24"/>
          <w:szCs w:val="24"/>
        </w:rPr>
        <w:t>Thomson Reuters</w:t>
      </w:r>
      <w:r w:rsidRPr="0099746D">
        <w:rPr>
          <w:rStyle w:val="small1"/>
          <w:color w:val="000000"/>
          <w:sz w:val="24"/>
          <w:szCs w:val="24"/>
        </w:rPr>
        <w:t>.</w:t>
      </w:r>
    </w:p>
    <w:p w:rsidR="00A409D8" w:rsidRPr="00A409D8" w:rsidRDefault="00A409D8" w:rsidP="00A409D8">
      <w:pPr>
        <w:pStyle w:val="ListParagraph"/>
        <w:rPr>
          <w:i/>
        </w:rPr>
      </w:pPr>
    </w:p>
    <w:p w:rsidR="00F23F6D" w:rsidRDefault="00A8446C" w:rsidP="00EF4A55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Style w:val="small1"/>
          <w:sz w:val="24"/>
          <w:szCs w:val="24"/>
        </w:rPr>
      </w:pPr>
      <w:r w:rsidRPr="00AF1E1F">
        <w:rPr>
          <w:i/>
        </w:rPr>
        <w:t>Capital IQ</w:t>
      </w:r>
      <w:r w:rsidR="00F23F6D" w:rsidRPr="00AF1E1F">
        <w:rPr>
          <w:rStyle w:val="small1"/>
          <w:color w:val="000000"/>
          <w:sz w:val="24"/>
          <w:szCs w:val="24"/>
        </w:rPr>
        <w:t xml:space="preserve"> </w:t>
      </w:r>
      <w:r w:rsidR="00EF4A55" w:rsidRPr="00AF1E1F">
        <w:rPr>
          <w:rStyle w:val="small1"/>
          <w:color w:val="000000"/>
          <w:sz w:val="24"/>
          <w:szCs w:val="24"/>
        </w:rPr>
        <w:t xml:space="preserve">was purchased from </w:t>
      </w:r>
      <w:r w:rsidR="00EF4A55" w:rsidRPr="00AF1E1F">
        <w:rPr>
          <w:i/>
        </w:rPr>
        <w:t>Standard &amp; Poor’s</w:t>
      </w:r>
      <w:r w:rsidR="00EF4A55" w:rsidRPr="00AF1E1F">
        <w:rPr>
          <w:rStyle w:val="small1"/>
          <w:sz w:val="24"/>
          <w:szCs w:val="24"/>
        </w:rPr>
        <w:t>.</w:t>
      </w:r>
    </w:p>
    <w:p w:rsidR="00AF1E1F" w:rsidRPr="00AF1E1F" w:rsidRDefault="00AF1E1F" w:rsidP="00AF1E1F">
      <w:pPr>
        <w:pStyle w:val="ListParagraph"/>
        <w:rPr>
          <w:rStyle w:val="small1"/>
          <w:sz w:val="24"/>
          <w:szCs w:val="24"/>
        </w:rPr>
      </w:pPr>
    </w:p>
    <w:p w:rsidR="00A60B4D" w:rsidRPr="003706AF" w:rsidRDefault="00A409D8" w:rsidP="00E21682">
      <w:pPr>
        <w:pStyle w:val="ListParagraph"/>
        <w:numPr>
          <w:ilvl w:val="0"/>
          <w:numId w:val="2"/>
        </w:numPr>
        <w:spacing w:after="0" w:line="240" w:lineRule="auto"/>
      </w:pPr>
      <w:r w:rsidRPr="00AF1E1F">
        <w:t>The variabl</w:t>
      </w:r>
      <w:r w:rsidRPr="003706AF">
        <w:t xml:space="preserve">e </w:t>
      </w:r>
      <w:r w:rsidR="0099746D" w:rsidRPr="003706AF">
        <w:t>“</w:t>
      </w:r>
      <w:r w:rsidR="00A60B4D" w:rsidRPr="003706AF">
        <w:rPr>
          <w:i/>
        </w:rPr>
        <w:t>GDP</w:t>
      </w:r>
      <w:r w:rsidR="003706AF">
        <w:rPr>
          <w:i/>
        </w:rPr>
        <w:t xml:space="preserve"> Growth</w:t>
      </w:r>
      <w:r w:rsidR="0099746D" w:rsidRPr="003706AF">
        <w:rPr>
          <w:rStyle w:val="small1"/>
          <w:color w:val="000000"/>
          <w:sz w:val="24"/>
          <w:szCs w:val="24"/>
        </w:rPr>
        <w:t>”</w:t>
      </w:r>
      <w:r w:rsidR="00A60B4D" w:rsidRPr="003706AF">
        <w:t xml:space="preserve"> </w:t>
      </w:r>
      <w:r w:rsidR="00A8446C" w:rsidRPr="003706AF">
        <w:t xml:space="preserve">is </w:t>
      </w:r>
      <w:r w:rsidR="00A60B4D" w:rsidRPr="003706AF">
        <w:t>from the World Bank website</w:t>
      </w:r>
      <w:r w:rsidR="006C2266" w:rsidRPr="003706AF">
        <w:t xml:space="preserve">, </w:t>
      </w:r>
      <w:hyperlink r:id="rId7" w:history="1">
        <w:r w:rsidR="006C2266" w:rsidRPr="003706AF">
          <w:rPr>
            <w:rStyle w:val="Hyperlink"/>
          </w:rPr>
          <w:t>https://data.worldbank.org/</w:t>
        </w:r>
      </w:hyperlink>
      <w:r w:rsidR="000B0430" w:rsidRPr="003706AF">
        <w:t>, using the variable “GDP growth (annual %)</w:t>
      </w:r>
      <w:r w:rsidR="00AF1E1F" w:rsidRPr="003706AF">
        <w:t>.</w:t>
      </w:r>
      <w:r w:rsidR="000B0430" w:rsidRPr="003706AF">
        <w:t>”</w:t>
      </w:r>
    </w:p>
    <w:p w:rsidR="006C2266" w:rsidRPr="003706AF" w:rsidRDefault="006C2266" w:rsidP="006C2266">
      <w:pPr>
        <w:pStyle w:val="ListParagraph"/>
        <w:spacing w:after="0" w:line="240" w:lineRule="auto"/>
        <w:jc w:val="both"/>
      </w:pPr>
    </w:p>
    <w:p w:rsidR="006C2266" w:rsidRPr="003706AF" w:rsidRDefault="00A409D8" w:rsidP="00E21682">
      <w:pPr>
        <w:pStyle w:val="ListParagraph"/>
        <w:numPr>
          <w:ilvl w:val="0"/>
          <w:numId w:val="2"/>
        </w:numPr>
        <w:spacing w:after="0" w:line="240" w:lineRule="auto"/>
        <w:jc w:val="both"/>
      </w:pPr>
      <w:r w:rsidRPr="003706AF">
        <w:t xml:space="preserve">The </w:t>
      </w:r>
      <w:r w:rsidR="0099746D" w:rsidRPr="003706AF">
        <w:t>“</w:t>
      </w:r>
      <w:r w:rsidR="00A60B4D" w:rsidRPr="003706AF">
        <w:rPr>
          <w:i/>
        </w:rPr>
        <w:t>Employment Protection Laws</w:t>
      </w:r>
      <w:r w:rsidR="0099746D" w:rsidRPr="003706AF">
        <w:rPr>
          <w:rStyle w:val="small1"/>
          <w:color w:val="000000"/>
          <w:sz w:val="24"/>
          <w:szCs w:val="24"/>
        </w:rPr>
        <w:t>”</w:t>
      </w:r>
      <w:r w:rsidR="00A60B4D" w:rsidRPr="003706AF">
        <w:t xml:space="preserve"> index</w:t>
      </w:r>
      <w:r w:rsidR="006C2266" w:rsidRPr="003706AF">
        <w:rPr>
          <w:rFonts w:eastAsia="Times New Roman"/>
        </w:rPr>
        <w:t xml:space="preserve"> is from the OECD</w:t>
      </w:r>
      <w:r w:rsidR="00AF1E1F" w:rsidRPr="003706AF">
        <w:rPr>
          <w:rFonts w:eastAsia="Times New Roman"/>
        </w:rPr>
        <w:t xml:space="preserve">. The variable used is “Strictness of employment protection – individual and collective dismissals (regular contracts): </w:t>
      </w:r>
      <w:hyperlink r:id="rId8" w:history="1">
        <w:r w:rsidR="00AF1E1F" w:rsidRPr="003706AF">
          <w:rPr>
            <w:rStyle w:val="Hyperlink"/>
          </w:rPr>
          <w:t>https://stats.oecd.org/Index.aspx?DataSetCode=EPL_OV</w:t>
        </w:r>
      </w:hyperlink>
    </w:p>
    <w:p w:rsidR="006C2266" w:rsidRPr="0099746D" w:rsidRDefault="006C2266" w:rsidP="006C2266">
      <w:pPr>
        <w:pStyle w:val="ListParagraph"/>
        <w:spacing w:after="0" w:line="240" w:lineRule="auto"/>
        <w:jc w:val="both"/>
        <w:rPr>
          <w:rFonts w:eastAsia="Times New Roman"/>
        </w:rPr>
      </w:pPr>
    </w:p>
    <w:p w:rsidR="006C2266" w:rsidRPr="0099746D" w:rsidRDefault="006C2266" w:rsidP="00E2168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/>
        </w:rPr>
      </w:pPr>
      <w:r w:rsidRPr="0099746D">
        <w:t xml:space="preserve">The </w:t>
      </w:r>
      <w:r w:rsidR="0099746D" w:rsidRPr="0099746D">
        <w:t>“</w:t>
      </w:r>
      <w:proofErr w:type="spellStart"/>
      <w:r w:rsidRPr="0099746D">
        <w:rPr>
          <w:rFonts w:eastAsia="Times New Roman"/>
          <w:i/>
        </w:rPr>
        <w:t>Harmonised</w:t>
      </w:r>
      <w:proofErr w:type="spellEnd"/>
      <w:r w:rsidRPr="0099746D">
        <w:rPr>
          <w:rFonts w:eastAsia="Times New Roman"/>
          <w:i/>
        </w:rPr>
        <w:t xml:space="preserve"> Unemployment Rate</w:t>
      </w:r>
      <w:r w:rsidR="0099746D" w:rsidRPr="0099746D">
        <w:rPr>
          <w:rStyle w:val="small1"/>
          <w:color w:val="000000"/>
          <w:sz w:val="24"/>
          <w:szCs w:val="24"/>
        </w:rPr>
        <w:t>”</w:t>
      </w:r>
      <w:r w:rsidRPr="0099746D">
        <w:rPr>
          <w:rFonts w:eastAsia="Times New Roman"/>
        </w:rPr>
        <w:t xml:space="preserve"> variable is from the OECD: </w:t>
      </w:r>
      <w:hyperlink r:id="rId9" w:history="1">
        <w:r w:rsidRPr="0099746D">
          <w:rPr>
            <w:rStyle w:val="Hyperlink"/>
            <w:rFonts w:eastAsia="Times New Roman"/>
          </w:rPr>
          <w:t>https://data.oecd.org/unemp/harmonised-unemployment-rate-hur.htm</w:t>
        </w:r>
      </w:hyperlink>
    </w:p>
    <w:p w:rsidR="006C2266" w:rsidRPr="0099746D" w:rsidRDefault="006C2266" w:rsidP="006C2266">
      <w:pPr>
        <w:pStyle w:val="FootnoteTex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C2266" w:rsidRPr="0099746D" w:rsidRDefault="006C2266" w:rsidP="00E21682">
      <w:pPr>
        <w:pStyle w:val="FootnoteTex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746D">
        <w:rPr>
          <w:rFonts w:ascii="Times New Roman" w:hAnsi="Times New Roman" w:cs="Times New Roman"/>
          <w:sz w:val="24"/>
          <w:szCs w:val="24"/>
        </w:rPr>
        <w:t xml:space="preserve">The </w:t>
      </w:r>
      <w:r w:rsidR="0099746D" w:rsidRPr="0099746D">
        <w:rPr>
          <w:rFonts w:ascii="Times New Roman" w:hAnsi="Times New Roman" w:cs="Times New Roman"/>
          <w:sz w:val="24"/>
          <w:szCs w:val="24"/>
        </w:rPr>
        <w:t>“</w:t>
      </w:r>
      <w:r w:rsidR="00A60B4D" w:rsidRPr="0099746D">
        <w:rPr>
          <w:rFonts w:ascii="Times New Roman" w:eastAsia="Times New Roman" w:hAnsi="Times New Roman" w:cs="Times New Roman"/>
          <w:i/>
          <w:sz w:val="24"/>
          <w:szCs w:val="24"/>
        </w:rPr>
        <w:t>Chinn-Ito Index</w:t>
      </w:r>
      <w:r w:rsidR="0099746D" w:rsidRPr="0099746D">
        <w:rPr>
          <w:rStyle w:val="small1"/>
          <w:rFonts w:ascii="Times New Roman" w:hAnsi="Times New Roman" w:cs="Times New Roman"/>
          <w:color w:val="000000"/>
          <w:sz w:val="24"/>
          <w:szCs w:val="24"/>
        </w:rPr>
        <w:t>”</w:t>
      </w:r>
      <w:r w:rsidR="00A60B4D" w:rsidRPr="0099746D">
        <w:rPr>
          <w:rFonts w:ascii="Times New Roman" w:eastAsia="Times New Roman" w:hAnsi="Times New Roman" w:cs="Times New Roman"/>
          <w:sz w:val="24"/>
          <w:szCs w:val="24"/>
        </w:rPr>
        <w:t xml:space="preserve"> of capital account openness </w:t>
      </w:r>
      <w:r w:rsidRPr="0099746D">
        <w:rPr>
          <w:rFonts w:ascii="Times New Roman" w:eastAsia="Times New Roman" w:hAnsi="Times New Roman" w:cs="Times New Roman"/>
          <w:sz w:val="24"/>
          <w:szCs w:val="24"/>
        </w:rPr>
        <w:t xml:space="preserve">is from: </w:t>
      </w:r>
      <w:r w:rsidRPr="0099746D">
        <w:rPr>
          <w:rFonts w:ascii="Times New Roman" w:hAnsi="Times New Roman" w:cs="Times New Roman"/>
          <w:sz w:val="24"/>
          <w:szCs w:val="24"/>
        </w:rPr>
        <w:t xml:space="preserve">Chinn, </w:t>
      </w:r>
      <w:proofErr w:type="spellStart"/>
      <w:r w:rsidRPr="0099746D">
        <w:rPr>
          <w:rFonts w:ascii="Times New Roman" w:hAnsi="Times New Roman" w:cs="Times New Roman"/>
          <w:sz w:val="24"/>
          <w:szCs w:val="24"/>
        </w:rPr>
        <w:t>Menzie</w:t>
      </w:r>
      <w:proofErr w:type="spellEnd"/>
      <w:r w:rsidRPr="0099746D">
        <w:rPr>
          <w:rFonts w:ascii="Times New Roman" w:hAnsi="Times New Roman" w:cs="Times New Roman"/>
          <w:sz w:val="24"/>
          <w:szCs w:val="24"/>
        </w:rPr>
        <w:t xml:space="preserve"> D. and Hiro Ito, 2006, What Matters for Financial Development? Capital Controls, Institutions, and Interactions, </w:t>
      </w:r>
      <w:r w:rsidRPr="0099746D">
        <w:rPr>
          <w:rFonts w:ascii="Times New Roman" w:hAnsi="Times New Roman" w:cs="Times New Roman"/>
          <w:i/>
          <w:sz w:val="24"/>
          <w:szCs w:val="24"/>
        </w:rPr>
        <w:t>Journal of Development Economics</w:t>
      </w:r>
      <w:r w:rsidRPr="0099746D">
        <w:rPr>
          <w:rFonts w:ascii="Times New Roman" w:hAnsi="Times New Roman" w:cs="Times New Roman"/>
          <w:sz w:val="24"/>
          <w:szCs w:val="24"/>
        </w:rPr>
        <w:t xml:space="preserve"> 81, 163-192.</w:t>
      </w:r>
    </w:p>
    <w:p w:rsidR="006C2266" w:rsidRPr="0099746D" w:rsidRDefault="006C2266" w:rsidP="006C2266">
      <w:pPr>
        <w:pStyle w:val="ListParagraph"/>
        <w:spacing w:after="0" w:line="240" w:lineRule="auto"/>
        <w:jc w:val="both"/>
      </w:pPr>
    </w:p>
    <w:p w:rsidR="006C2266" w:rsidRPr="0099746D" w:rsidRDefault="006C2266" w:rsidP="00E21682">
      <w:pPr>
        <w:pStyle w:val="ListParagraph"/>
        <w:numPr>
          <w:ilvl w:val="0"/>
          <w:numId w:val="2"/>
        </w:numPr>
        <w:spacing w:after="0" w:line="240" w:lineRule="auto"/>
        <w:jc w:val="both"/>
      </w:pPr>
      <w:r w:rsidRPr="0099746D">
        <w:t xml:space="preserve">The </w:t>
      </w:r>
      <w:r w:rsidR="0099746D" w:rsidRPr="0099746D">
        <w:t>“</w:t>
      </w:r>
      <w:r w:rsidR="00594084" w:rsidRPr="0099746D">
        <w:rPr>
          <w:i/>
        </w:rPr>
        <w:t>Anti-Self-Dealing Index</w:t>
      </w:r>
      <w:r w:rsidR="0099746D" w:rsidRPr="0099746D">
        <w:rPr>
          <w:rStyle w:val="small1"/>
          <w:color w:val="000000"/>
          <w:sz w:val="24"/>
          <w:szCs w:val="24"/>
        </w:rPr>
        <w:t>”</w:t>
      </w:r>
      <w:r w:rsidR="00594084" w:rsidRPr="0099746D">
        <w:t xml:space="preserve"> </w:t>
      </w:r>
      <w:r w:rsidRPr="0099746D">
        <w:t xml:space="preserve">is from: Djankov, Simeon, Rafael La Porta, Florencio Lopez‐de‐Silanes, and Andrei Shleifer, 2008, The Law and Economics of Self-Dealing, </w:t>
      </w:r>
      <w:r w:rsidRPr="0099746D">
        <w:rPr>
          <w:i/>
        </w:rPr>
        <w:t xml:space="preserve">Journal of Financial Economics </w:t>
      </w:r>
      <w:r w:rsidRPr="0099746D">
        <w:t>88, 430-465.</w:t>
      </w:r>
    </w:p>
    <w:sectPr w:rsidR="006C2266" w:rsidRPr="009974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251" w:rsidRDefault="00653251" w:rsidP="00A60B4D">
      <w:pPr>
        <w:spacing w:after="0" w:line="240" w:lineRule="auto"/>
      </w:pPr>
      <w:r>
        <w:separator/>
      </w:r>
    </w:p>
  </w:endnote>
  <w:endnote w:type="continuationSeparator" w:id="0">
    <w:p w:rsidR="00653251" w:rsidRDefault="00653251" w:rsidP="00A60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B4D" w:rsidRDefault="00A60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B4D" w:rsidRDefault="00A60B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B4D" w:rsidRDefault="00A60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251" w:rsidRDefault="00653251" w:rsidP="00A60B4D">
      <w:pPr>
        <w:spacing w:after="0" w:line="240" w:lineRule="auto"/>
      </w:pPr>
      <w:r>
        <w:separator/>
      </w:r>
    </w:p>
  </w:footnote>
  <w:footnote w:type="continuationSeparator" w:id="0">
    <w:p w:rsidR="00653251" w:rsidRDefault="00653251" w:rsidP="00A60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B4D" w:rsidRDefault="00A60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B4D" w:rsidRDefault="00A60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B4D" w:rsidRDefault="00A60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37661"/>
    <w:multiLevelType w:val="hybridMultilevel"/>
    <w:tmpl w:val="74789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E19A4"/>
    <w:multiLevelType w:val="hybridMultilevel"/>
    <w:tmpl w:val="DF64B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2E2E99"/>
    <w:multiLevelType w:val="hybridMultilevel"/>
    <w:tmpl w:val="AD24B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B4D"/>
    <w:rsid w:val="00002B59"/>
    <w:rsid w:val="000B0430"/>
    <w:rsid w:val="00104B2C"/>
    <w:rsid w:val="003706AF"/>
    <w:rsid w:val="003B5FFB"/>
    <w:rsid w:val="003D2139"/>
    <w:rsid w:val="005302DA"/>
    <w:rsid w:val="00594084"/>
    <w:rsid w:val="00653251"/>
    <w:rsid w:val="006C2266"/>
    <w:rsid w:val="007B594E"/>
    <w:rsid w:val="0099746D"/>
    <w:rsid w:val="009D4648"/>
    <w:rsid w:val="009F47EC"/>
    <w:rsid w:val="00A409D8"/>
    <w:rsid w:val="00A60B4D"/>
    <w:rsid w:val="00A8446C"/>
    <w:rsid w:val="00AF1E1F"/>
    <w:rsid w:val="00E21682"/>
    <w:rsid w:val="00E90D05"/>
    <w:rsid w:val="00EF4A55"/>
    <w:rsid w:val="00EF5BA2"/>
    <w:rsid w:val="00F23CC3"/>
    <w:rsid w:val="00F23F6D"/>
    <w:rsid w:val="00F5676C"/>
    <w:rsid w:val="00F7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74E1E7-E660-46CC-8426-56129C1F1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B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B4D"/>
  </w:style>
  <w:style w:type="paragraph" w:styleId="Footer">
    <w:name w:val="footer"/>
    <w:basedOn w:val="Normal"/>
    <w:link w:val="FooterChar"/>
    <w:uiPriority w:val="99"/>
    <w:unhideWhenUsed/>
    <w:rsid w:val="00A60B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B4D"/>
  </w:style>
  <w:style w:type="paragraph" w:styleId="FootnoteText">
    <w:name w:val="footnote text"/>
    <w:basedOn w:val="Normal"/>
    <w:link w:val="FootnoteTextChar"/>
    <w:uiPriority w:val="99"/>
    <w:unhideWhenUsed/>
    <w:rsid w:val="00A60B4D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60B4D"/>
    <w:rPr>
      <w:rFonts w:asciiTheme="minorHAnsi" w:eastAsiaTheme="minorEastAsia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0B4D"/>
    <w:rPr>
      <w:vertAlign w:val="superscript"/>
    </w:rPr>
  </w:style>
  <w:style w:type="character" w:customStyle="1" w:styleId="small1">
    <w:name w:val="small1"/>
    <w:basedOn w:val="DefaultParagraphFont"/>
    <w:rsid w:val="003B5FFB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23F6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22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0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6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8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ts.oecd.org/Index.aspx?DataSetCode=EPL_OV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data.worldbank.org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ata.oecd.org/unemp/harmonised-unemployment-rate-hur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Faccio, Mara</dc:creator>
  <cp:keywords/>
  <dc:description/>
  <cp:lastModifiedBy>Faccio, Mara</cp:lastModifiedBy>
  <cp:revision>3</cp:revision>
  <dcterms:created xsi:type="dcterms:W3CDTF">2020-02-10T21:33:00Z</dcterms:created>
  <dcterms:modified xsi:type="dcterms:W3CDTF">2020-02-12T20:29:00Z</dcterms:modified>
</cp:coreProperties>
</file>